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постачальника канцелярських, господарських та офісних товарів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10916.0" w:type="dxa"/>
        <w:jc w:val="left"/>
        <w:tblInd w:w="-284.0" w:type="dxa"/>
        <w:tblLayout w:type="fixed"/>
        <w:tblLook w:val="0000"/>
      </w:tblPr>
      <w:tblGrid>
        <w:gridCol w:w="464"/>
        <w:gridCol w:w="4215"/>
        <w:gridCol w:w="6237"/>
        <w:tblGridChange w:id="0">
          <w:tblGrid>
            <w:gridCol w:w="464"/>
            <w:gridCol w:w="4215"/>
            <w:gridCol w:w="6237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проекту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Усі проекти організації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 (зазначати при необхідності)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01001, м. Київ, вул. Малопідвальна, 10, оф. 1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 (контактна особа)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 К.С.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(09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Канцелярські, господарські та офісні товари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Київ</w:t>
              <w:br w:type="textWrapping"/>
              <w:t xml:space="preserve">Рік після укладання договору з можливістю подовження на 1 рік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Конкурсний відбір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(http://www.ucipr.org.ua/index.php?option=com_content&amp;view=category&amp;id=40&amp;Itemid=218&amp;lang=ua) 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(http://www.ucipr.org.ua/index.php?option=com_content&amp;view=category&amp;id=40&amp;Itemid=218&amp;lang=ua ) або надання учаснику на e-mail учасника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електронну адресу: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з обов’язковою копією на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 подачі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р., 18.00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3 днів після кінцевого строку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Тендерного комітету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 К.С.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Обычны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ucipr.competition@gmail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mailto:administrative@ucipr.org.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gN11Uzw2T+iiW/lz/ImXvJcaTw==">CgMxLjA4AHIhMXd0Tk9RQk9mZmdXaTB4QzNsb0wtZEM5bUlCUnI5Q1pG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2015-07-15T13:26:00Z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