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послуг графічного дизайну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7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Всі проекти УНЦПД</w:t>
              <w:tab/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Катерина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(09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 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Один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постачальник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послуги графічного дизайну для організації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протягом одного року з моменту підписання Договору з можливістю продовження на один рік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Обов’язково надіслати на обидві електронні скриньки: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і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 подачі заявок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р. 16:00 год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Катерина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(09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 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9" w:right="-75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513"/>
        <w:tab w:val="right" w:leader="none" w:pos="9026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 w:eastAsia="zh-CN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Неразрешенноеупоминание">
    <w:name w:val="Неразрешенное упоминание"/>
    <w:next w:val="Неразрешенноеупоминание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administrative@ucipr.org.ua" TargetMode="Externa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t5Pk2s4o2J1kataSni7HWW+Vdw==">CgMxLjA4AHIhMUpoazlsVEtEU2s1dGMycUZZS05lazBtVFFwMDM5dDBD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